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jc w:val="center"/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4730115</wp:posOffset>
                </wp:positionH>
                <wp:positionV relativeFrom="paragraph">
                  <wp:posOffset>-69850</wp:posOffset>
                </wp:positionV>
                <wp:extent cx="1411605" cy="276225"/>
                <wp:effectExtent l="5715" t="6985" r="11430" b="12065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160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372.45pt;margin-top:-5.5pt;width:111.15pt;height:21.7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" strokecolor="white">
                <v:textbox style="mso-fit-shape-to-text:t">
                  <w:txbxContent>
                    <w:p w:rsidR="00B85C5B" w:rsidRDefault="00B85C5B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5029200</wp:posOffset>
                </wp:positionH>
                <wp:positionV relativeFrom="paragraph">
                  <wp:posOffset>0</wp:posOffset>
                </wp:positionV>
                <wp:extent cx="914400" cy="342900"/>
                <wp:effectExtent l="13335" t="13335" r="5715" b="5715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" o:spid="_x0000_s1027" type="#_x0000_t202" style="position:absolute;left:0;text-align:left;margin-left:396pt;margin-top:0;width:1in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" strokecolor="white">
                <v:textbox>
                  <w:txbxContent>
                    <w:p w:rsidR="00B85C5B" w:rsidRDefault="00B85C5B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noProof/>
        </w:rPr>
        <w:drawing>
          <wp:inline distT="0" distB="0" distL="0" distR="0">
            <wp:extent cx="1314450" cy="9334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jc w:val="center"/>
        <w:rPr>
          <w:rFonts w:ascii="Times New Roman" w:hAnsi="Times New Roman"/>
          <w:i w:val="0"/>
          <w:sz w:val="32"/>
          <w:szCs w:val="32"/>
        </w:rPr>
      </w:pPr>
      <w:r>
        <w:rPr>
          <w:rFonts w:ascii="Times New Roman" w:hAnsi="Times New Roman"/>
          <w:i w:val="0"/>
          <w:sz w:val="32"/>
          <w:szCs w:val="32"/>
        </w:rPr>
        <w:t>РОССИЙСКАЯ ФЕДЕРАЦИЯ</w:t>
      </w:r>
    </w:p>
    <w:p>
      <w:pPr>
        <w:jc w:val="center"/>
        <w:rPr>
          <w:b/>
          <w:bCs/>
          <w:sz w:val="32"/>
          <w:szCs w:val="32"/>
        </w:rPr>
      </w:pPr>
      <w:r>
        <w:rPr>
          <w:b/>
          <w:sz w:val="32"/>
          <w:szCs w:val="32"/>
        </w:rPr>
        <w:t>ЧУКОТСКИЙ АВТОНОМНЫЙ ОКРУГ</w:t>
      </w:r>
    </w:p>
    <w:p>
      <w:pPr>
        <w:pStyle w:val="2"/>
        <w:jc w:val="center"/>
        <w:rPr>
          <w:rFonts w:ascii="Times New Roman" w:hAnsi="Times New Roman"/>
          <w:i w:val="0"/>
          <w:sz w:val="32"/>
          <w:szCs w:val="32"/>
        </w:rPr>
      </w:pPr>
      <w:r>
        <w:rPr>
          <w:rFonts w:ascii="Times New Roman" w:hAnsi="Times New Roman"/>
          <w:i w:val="0"/>
          <w:sz w:val="32"/>
          <w:szCs w:val="32"/>
        </w:rPr>
        <w:t>СОВЕТ ДЕПУТАТОВ</w:t>
      </w:r>
    </w:p>
    <w:p>
      <w:pPr>
        <w:tabs>
          <w:tab w:val="left" w:pos="3135"/>
          <w:tab w:val="center" w:pos="4819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городского округа Анадырь</w:t>
      </w:r>
    </w:p>
    <w:p>
      <w:pPr>
        <w:tabs>
          <w:tab w:val="left" w:pos="3135"/>
          <w:tab w:val="center" w:pos="4819"/>
        </w:tabs>
        <w:jc w:val="center"/>
        <w:rPr>
          <w:b/>
          <w:sz w:val="28"/>
          <w:szCs w:val="28"/>
        </w:rPr>
      </w:pPr>
    </w:p>
    <w:p>
      <w:pPr>
        <w:tabs>
          <w:tab w:val="left" w:pos="3135"/>
          <w:tab w:val="center" w:pos="4819"/>
        </w:tabs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Р Е Ш Е Н И Е</w:t>
      </w:r>
    </w:p>
    <w:p>
      <w:pPr>
        <w:tabs>
          <w:tab w:val="left" w:pos="246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L</w:t>
      </w:r>
      <w:r>
        <w:rPr>
          <w:sz w:val="28"/>
          <w:szCs w:val="28"/>
        </w:rPr>
        <w:t xml:space="preserve"> сессия </w:t>
      </w:r>
      <w:r>
        <w:rPr>
          <w:sz w:val="28"/>
          <w:szCs w:val="28"/>
          <w:lang w:val="en-US"/>
        </w:rPr>
        <w:t>VI</w:t>
      </w:r>
      <w:r>
        <w:rPr>
          <w:sz w:val="28"/>
          <w:szCs w:val="28"/>
        </w:rPr>
        <w:t xml:space="preserve"> созыва)</w:t>
      </w:r>
    </w:p>
    <w:p>
      <w:pPr>
        <w:tabs>
          <w:tab w:val="left" w:pos="3135"/>
          <w:tab w:val="center" w:pos="4819"/>
        </w:tabs>
        <w:spacing w:line="276" w:lineRule="auto"/>
        <w:rPr>
          <w:bCs/>
          <w:sz w:val="28"/>
          <w:szCs w:val="28"/>
        </w:rPr>
      </w:pPr>
    </w:p>
    <w:p>
      <w:pPr>
        <w:tabs>
          <w:tab w:val="left" w:pos="3135"/>
          <w:tab w:val="center" w:pos="4819"/>
        </w:tabs>
        <w:spacing w:line="276" w:lineRule="auto"/>
        <w:rPr>
          <w:bCs/>
          <w:sz w:val="28"/>
          <w:szCs w:val="28"/>
        </w:rPr>
      </w:pPr>
    </w:p>
    <w:tbl>
      <w:tblPr>
        <w:tblW w:w="9531" w:type="dxa"/>
        <w:tblLook w:val="01E0" w:firstRow="1" w:lastRow="1" w:firstColumn="1" w:lastColumn="1" w:noHBand="0" w:noVBand="0"/>
      </w:tblPr>
      <w:tblGrid>
        <w:gridCol w:w="4944"/>
        <w:gridCol w:w="4587"/>
      </w:tblGrid>
      <w:tr>
        <w:trPr>
          <w:trHeight w:val="401"/>
        </w:trPr>
        <w:tc>
          <w:tcPr>
            <w:tcW w:w="4944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6 апреля 2023 года</w:t>
            </w:r>
          </w:p>
        </w:tc>
        <w:tc>
          <w:tcPr>
            <w:tcW w:w="4587" w:type="dxa"/>
          </w:tcPr>
          <w:p>
            <w:pPr>
              <w:ind w:right="-2" w:firstLine="7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№ 344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587" w:type="dxa"/>
          <w:trHeight w:val="618"/>
        </w:trPr>
        <w:tc>
          <w:tcPr>
            <w:tcW w:w="494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ind w:right="4727"/>
              <w:contextualSpacing/>
              <w:jc w:val="both"/>
              <w:rPr>
                <w:sz w:val="28"/>
                <w:szCs w:val="28"/>
              </w:rPr>
            </w:pPr>
          </w:p>
          <w:p>
            <w:pPr>
              <w:ind w:right="4727"/>
              <w:contextualSpacing/>
              <w:jc w:val="both"/>
              <w:rPr>
                <w:sz w:val="28"/>
                <w:szCs w:val="28"/>
              </w:rPr>
            </w:pPr>
          </w:p>
          <w:p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передаче Территориальной избирательной комиссии городского округа Анадырь в безвозмездное пользование объектов муниципального движимого имущества городского округа Анадырь </w:t>
            </w:r>
          </w:p>
        </w:tc>
      </w:tr>
    </w:tbl>
    <w:p>
      <w:pPr>
        <w:tabs>
          <w:tab w:val="left" w:pos="1005"/>
        </w:tabs>
        <w:suppressAutoHyphens/>
        <w:ind w:right="4727"/>
        <w:contextualSpacing/>
        <w:jc w:val="both"/>
        <w:rPr>
          <w:sz w:val="28"/>
          <w:szCs w:val="28"/>
        </w:rPr>
      </w:pPr>
    </w:p>
    <w:p>
      <w:pPr>
        <w:tabs>
          <w:tab w:val="left" w:pos="1005"/>
        </w:tabs>
        <w:suppressAutoHyphens/>
        <w:contextualSpacing/>
        <w:jc w:val="both"/>
        <w:rPr>
          <w:sz w:val="28"/>
          <w:szCs w:val="28"/>
        </w:rPr>
      </w:pPr>
    </w:p>
    <w:p>
      <w:pPr>
        <w:ind w:right="-1" w:firstLine="708"/>
        <w:contextualSpacing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Руководствуясь Федеральным законом от 6 октября 2003 года № 131-ФЗ «Об общих принципах организации местного самоуправления в Российской Федерации», Решением Совета депутатов городского округа Анадырь от 25 декабря 2008 года № 496 «Об утверждении Положения об управлении и распоряжении муниципальным имуществом, находящимся в собственности городского округа Анадырь», Уставом городского округа Анадырь, с учетом обращения от 20 марта 2023 года № 04-10/219 Избирательной комиссии Чукотского автономного округа, в целях сохранности имущества и использования его по назначению,</w:t>
      </w:r>
    </w:p>
    <w:p>
      <w:pPr>
        <w:tabs>
          <w:tab w:val="left" w:pos="1005"/>
        </w:tabs>
        <w:suppressAutoHyphens/>
        <w:contextualSpacing/>
        <w:rPr>
          <w:b/>
          <w:sz w:val="28"/>
          <w:szCs w:val="28"/>
        </w:rPr>
      </w:pPr>
    </w:p>
    <w:p>
      <w:pPr>
        <w:tabs>
          <w:tab w:val="left" w:pos="1005"/>
        </w:tabs>
        <w:suppressAutoHyphens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городского округа Анадырь</w:t>
      </w:r>
    </w:p>
    <w:p>
      <w:pPr>
        <w:contextualSpacing/>
        <w:jc w:val="both"/>
        <w:rPr>
          <w:b/>
          <w:bCs/>
          <w:sz w:val="28"/>
          <w:szCs w:val="28"/>
        </w:rPr>
      </w:pPr>
    </w:p>
    <w:p>
      <w:pPr>
        <w:contextualSpacing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 Е Ш И Л:</w:t>
      </w:r>
    </w:p>
    <w:p>
      <w:pPr>
        <w:contextualSpacing/>
        <w:jc w:val="both"/>
        <w:rPr>
          <w:b/>
          <w:bCs/>
          <w:sz w:val="28"/>
          <w:szCs w:val="28"/>
        </w:rPr>
      </w:pPr>
    </w:p>
    <w:p>
      <w:pPr>
        <w:pStyle w:val="a6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прилагаемый перечень объектов муниципального движимого имущества городского округа Анадырь, </w:t>
      </w:r>
      <w:r>
        <w:rPr>
          <w:bCs/>
          <w:sz w:val="28"/>
          <w:szCs w:val="28"/>
        </w:rPr>
        <w:t xml:space="preserve">передаваемого в безвозмездное </w:t>
      </w:r>
      <w:r>
        <w:rPr>
          <w:bCs/>
          <w:sz w:val="28"/>
          <w:szCs w:val="28"/>
        </w:rPr>
        <w:lastRenderedPageBreak/>
        <w:t>пользование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Территориальной избирательной комиссии городского округа Анадырь.</w:t>
      </w:r>
    </w:p>
    <w:p>
      <w:pPr>
        <w:ind w:firstLine="709"/>
        <w:contextualSpacing/>
        <w:jc w:val="both"/>
        <w:rPr>
          <w:sz w:val="28"/>
          <w:szCs w:val="28"/>
        </w:rPr>
      </w:pPr>
    </w:p>
    <w:p>
      <w:pPr>
        <w:pStyle w:val="a6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вступает в силу со дня его подписания.</w:t>
      </w:r>
    </w:p>
    <w:p>
      <w:pPr>
        <w:jc w:val="both"/>
      </w:pPr>
    </w:p>
    <w:p>
      <w:pPr>
        <w:jc w:val="both"/>
        <w:rPr>
          <w:sz w:val="28"/>
          <w:szCs w:val="28"/>
        </w:rPr>
      </w:pPr>
    </w:p>
    <w:p>
      <w:pPr>
        <w:tabs>
          <w:tab w:val="num" w:pos="0"/>
        </w:tabs>
        <w:jc w:val="both"/>
        <w:rPr>
          <w:sz w:val="28"/>
          <w:szCs w:val="28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4928"/>
        <w:gridCol w:w="5103"/>
      </w:tblGrid>
      <w:tr>
        <w:tc>
          <w:tcPr>
            <w:tcW w:w="4928" w:type="dxa"/>
          </w:tcPr>
          <w:p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Глава городского округа</w:t>
            </w:r>
          </w:p>
          <w:p>
            <w:pPr>
              <w:rPr>
                <w:b/>
                <w:bCs/>
                <w:sz w:val="28"/>
                <w:szCs w:val="28"/>
              </w:rPr>
            </w:pPr>
          </w:p>
          <w:p>
            <w:pPr>
              <w:rPr>
                <w:b/>
                <w:bCs/>
                <w:sz w:val="28"/>
                <w:szCs w:val="28"/>
              </w:rPr>
            </w:pPr>
          </w:p>
          <w:p>
            <w:pPr>
              <w:rPr>
                <w:b/>
                <w:bCs/>
                <w:sz w:val="28"/>
                <w:szCs w:val="28"/>
              </w:rPr>
            </w:pPr>
          </w:p>
          <w:p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_________________Л.А. Николаев</w:t>
            </w:r>
          </w:p>
        </w:tc>
        <w:tc>
          <w:tcPr>
            <w:tcW w:w="5103" w:type="dxa"/>
          </w:tcPr>
          <w:p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Заместитель Председателя</w:t>
            </w:r>
          </w:p>
          <w:p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Совета депутатов</w:t>
            </w:r>
          </w:p>
          <w:p>
            <w:pPr>
              <w:jc w:val="right"/>
              <w:rPr>
                <w:b/>
                <w:bCs/>
                <w:sz w:val="28"/>
                <w:szCs w:val="28"/>
              </w:rPr>
            </w:pPr>
          </w:p>
          <w:p>
            <w:pPr>
              <w:jc w:val="right"/>
              <w:rPr>
                <w:b/>
                <w:bCs/>
                <w:sz w:val="28"/>
                <w:szCs w:val="28"/>
              </w:rPr>
            </w:pPr>
          </w:p>
          <w:p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__________________ М.Г. Хван</w:t>
            </w:r>
          </w:p>
        </w:tc>
      </w:tr>
    </w:tbl>
    <w:p>
      <w:pPr>
        <w:rPr>
          <w:bCs/>
          <w:sz w:val="28"/>
          <w:szCs w:val="28"/>
        </w:rPr>
      </w:pPr>
    </w:p>
    <w:p>
      <w:pPr>
        <w:rPr>
          <w:bCs/>
          <w:sz w:val="28"/>
          <w:szCs w:val="28"/>
        </w:rPr>
      </w:pPr>
    </w:p>
    <w:p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г. Анадырь</w:t>
      </w:r>
    </w:p>
    <w:p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6 апреля 2023 года</w:t>
      </w:r>
    </w:p>
    <w:p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№ 344</w:t>
      </w:r>
    </w:p>
    <w:p>
      <w:pPr>
        <w:jc w:val="both"/>
        <w:rPr>
          <w:sz w:val="28"/>
          <w:szCs w:val="28"/>
        </w:rPr>
      </w:pPr>
    </w:p>
    <w:p>
      <w:pPr>
        <w:jc w:val="both"/>
        <w:rPr>
          <w:sz w:val="28"/>
          <w:szCs w:val="28"/>
        </w:rPr>
      </w:pPr>
    </w:p>
    <w:p>
      <w:pPr>
        <w:jc w:val="both"/>
        <w:rPr>
          <w:sz w:val="28"/>
          <w:szCs w:val="28"/>
        </w:rPr>
      </w:pPr>
    </w:p>
    <w:p>
      <w:pPr>
        <w:jc w:val="both"/>
        <w:rPr>
          <w:sz w:val="28"/>
          <w:szCs w:val="28"/>
        </w:rPr>
      </w:pPr>
    </w:p>
    <w:p>
      <w:pPr>
        <w:jc w:val="both"/>
        <w:rPr>
          <w:sz w:val="28"/>
          <w:szCs w:val="28"/>
        </w:rPr>
      </w:pPr>
    </w:p>
    <w:p>
      <w:pPr>
        <w:jc w:val="both"/>
        <w:rPr>
          <w:sz w:val="28"/>
          <w:szCs w:val="28"/>
        </w:rPr>
      </w:pPr>
    </w:p>
    <w:p>
      <w:pPr>
        <w:jc w:val="both"/>
        <w:rPr>
          <w:sz w:val="28"/>
          <w:szCs w:val="28"/>
        </w:rPr>
      </w:pPr>
    </w:p>
    <w:p>
      <w:pPr>
        <w:jc w:val="both"/>
        <w:rPr>
          <w:sz w:val="28"/>
          <w:szCs w:val="28"/>
        </w:rPr>
      </w:pPr>
    </w:p>
    <w:p>
      <w:pPr>
        <w:jc w:val="both"/>
        <w:rPr>
          <w:sz w:val="28"/>
          <w:szCs w:val="28"/>
        </w:rPr>
      </w:pPr>
    </w:p>
    <w:p>
      <w:pPr>
        <w:jc w:val="both"/>
        <w:rPr>
          <w:sz w:val="28"/>
          <w:szCs w:val="28"/>
        </w:rPr>
      </w:pPr>
    </w:p>
    <w:p>
      <w:pPr>
        <w:jc w:val="both"/>
        <w:rPr>
          <w:sz w:val="28"/>
          <w:szCs w:val="28"/>
        </w:rPr>
      </w:pPr>
    </w:p>
    <w:p>
      <w:pPr>
        <w:jc w:val="both"/>
        <w:rPr>
          <w:sz w:val="28"/>
          <w:szCs w:val="28"/>
        </w:rPr>
      </w:pPr>
    </w:p>
    <w:p>
      <w:pPr>
        <w:jc w:val="both"/>
        <w:rPr>
          <w:sz w:val="28"/>
          <w:szCs w:val="28"/>
        </w:rPr>
      </w:pPr>
    </w:p>
    <w:p>
      <w:pPr>
        <w:jc w:val="both"/>
        <w:rPr>
          <w:sz w:val="28"/>
          <w:szCs w:val="28"/>
        </w:rPr>
      </w:pPr>
    </w:p>
    <w:p>
      <w:pPr>
        <w:jc w:val="both"/>
        <w:rPr>
          <w:sz w:val="28"/>
          <w:szCs w:val="28"/>
        </w:rPr>
      </w:pPr>
    </w:p>
    <w:p>
      <w:pPr>
        <w:jc w:val="both"/>
        <w:rPr>
          <w:sz w:val="28"/>
          <w:szCs w:val="28"/>
        </w:rPr>
      </w:pPr>
    </w:p>
    <w:p>
      <w:pPr>
        <w:jc w:val="both"/>
        <w:rPr>
          <w:sz w:val="28"/>
          <w:szCs w:val="28"/>
        </w:rPr>
      </w:pPr>
    </w:p>
    <w:p>
      <w:pPr>
        <w:pStyle w:val="a3"/>
        <w:rPr>
          <w:rFonts w:ascii="Times New Roman" w:hAnsi="Times New Roman"/>
          <w:b/>
          <w:sz w:val="28"/>
          <w:szCs w:val="28"/>
        </w:rPr>
        <w:sectPr>
          <w:headerReference w:type="default" r:id="rId8"/>
          <w:pgSz w:w="12240" w:h="15840"/>
          <w:pgMar w:top="426" w:right="758" w:bottom="1134" w:left="1701" w:header="720" w:footer="720" w:gutter="0"/>
          <w:cols w:space="720"/>
          <w:titlePg/>
          <w:docGrid w:linePitch="326"/>
        </w:sectPr>
      </w:pPr>
    </w:p>
    <w:tbl>
      <w:tblPr>
        <w:tblW w:w="9781" w:type="dxa"/>
        <w:tblLook w:val="0000" w:firstRow="0" w:lastRow="0" w:firstColumn="0" w:lastColumn="0" w:noHBand="0" w:noVBand="0"/>
      </w:tblPr>
      <w:tblGrid>
        <w:gridCol w:w="4111"/>
        <w:gridCol w:w="5670"/>
      </w:tblGrid>
      <w:tr>
        <w:tc>
          <w:tcPr>
            <w:tcW w:w="4111" w:type="dxa"/>
          </w:tcPr>
          <w:p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</w:t>
            </w:r>
          </w:p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Решению Совета депутатов </w:t>
            </w:r>
          </w:p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городского округа Анадырь</w:t>
            </w:r>
          </w:p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6 апреля 2023 года № 344</w:t>
            </w:r>
          </w:p>
          <w:p>
            <w:pPr>
              <w:jc w:val="right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</w:t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объектов муниципального имущества городского округа Анадырь,</w:t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передаваемого в безвозмездное пользование Территориальной избирательной комиссией городского округа Анадырь</w:t>
      </w:r>
    </w:p>
    <w:p>
      <w:pPr>
        <w:jc w:val="center"/>
        <w:rPr>
          <w:b/>
          <w:sz w:val="28"/>
          <w:szCs w:val="2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7"/>
        <w:gridCol w:w="2922"/>
        <w:gridCol w:w="2410"/>
        <w:gridCol w:w="1843"/>
        <w:gridCol w:w="1842"/>
      </w:tblGrid>
      <w:tr>
        <w:tc>
          <w:tcPr>
            <w:tcW w:w="617" w:type="dxa"/>
          </w:tcPr>
          <w:p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922" w:type="dxa"/>
          </w:tcPr>
          <w:p>
            <w:pPr>
              <w:autoSpaceDE w:val="0"/>
              <w:autoSpaceDN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имущества</w:t>
            </w:r>
          </w:p>
        </w:tc>
        <w:tc>
          <w:tcPr>
            <w:tcW w:w="2410" w:type="dxa"/>
          </w:tcPr>
          <w:p>
            <w:pPr>
              <w:autoSpaceDE w:val="0"/>
              <w:autoSpaceDN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Реестровый </w:t>
            </w:r>
          </w:p>
          <w:p>
            <w:pPr>
              <w:autoSpaceDE w:val="0"/>
              <w:autoSpaceDN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номер</w:t>
            </w:r>
          </w:p>
        </w:tc>
        <w:tc>
          <w:tcPr>
            <w:tcW w:w="1843" w:type="dxa"/>
          </w:tcPr>
          <w:p>
            <w:pPr>
              <w:autoSpaceDE w:val="0"/>
              <w:autoSpaceDN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Балансовая стоимость (руб.)</w:t>
            </w:r>
          </w:p>
        </w:tc>
        <w:tc>
          <w:tcPr>
            <w:tcW w:w="1842" w:type="dxa"/>
          </w:tcPr>
          <w:p>
            <w:pPr>
              <w:autoSpaceDE w:val="0"/>
              <w:autoSpaceDN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Остаточная стоимость (руб.)</w:t>
            </w:r>
          </w:p>
        </w:tc>
      </w:tr>
      <w:tr>
        <w:tc>
          <w:tcPr>
            <w:tcW w:w="617" w:type="dxa"/>
          </w:tcPr>
          <w:p>
            <w:pPr>
              <w:jc w:val="both"/>
              <w:rPr>
                <w:color w:val="000000"/>
                <w:sz w:val="20"/>
                <w:szCs w:val="20"/>
              </w:rPr>
            </w:pPr>
          </w:p>
          <w:p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922" w:type="dxa"/>
            <w:vAlign w:val="center"/>
          </w:tcPr>
          <w:p>
            <w:pPr>
              <w:jc w:val="center"/>
            </w:pPr>
            <w:r>
              <w:t>Вешалка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</w:pPr>
            <w:r>
              <w:t>087М26Д0001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</w:pPr>
            <w:r>
              <w:t>4 815,00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</w:pPr>
            <w:r>
              <w:t>0,00</w:t>
            </w:r>
          </w:p>
        </w:tc>
      </w:tr>
      <w:tr>
        <w:tc>
          <w:tcPr>
            <w:tcW w:w="617" w:type="dxa"/>
          </w:tcPr>
          <w:p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922" w:type="dxa"/>
            <w:vAlign w:val="center"/>
          </w:tcPr>
          <w:p>
            <w:pPr>
              <w:jc w:val="center"/>
            </w:pPr>
            <w:r>
              <w:t>Жалюзи вертикальные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</w:pPr>
            <w:r>
              <w:t>087М26Д0002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</w:pPr>
            <w:r>
              <w:t>32 315,00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</w:pPr>
            <w:r>
              <w:t>0,00</w:t>
            </w:r>
          </w:p>
        </w:tc>
      </w:tr>
      <w:tr>
        <w:tc>
          <w:tcPr>
            <w:tcW w:w="617" w:type="dxa"/>
          </w:tcPr>
          <w:p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922" w:type="dxa"/>
            <w:vAlign w:val="center"/>
          </w:tcPr>
          <w:p>
            <w:pPr>
              <w:jc w:val="center"/>
            </w:pPr>
            <w:r>
              <w:t>Зеркало напольное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</w:pPr>
            <w:r>
              <w:t>087М26Д0003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</w:pPr>
            <w:r>
              <w:t>3 616,00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</w:pPr>
            <w:r>
              <w:t>0,00</w:t>
            </w:r>
          </w:p>
        </w:tc>
      </w:tr>
      <w:tr>
        <w:tc>
          <w:tcPr>
            <w:tcW w:w="617" w:type="dxa"/>
          </w:tcPr>
          <w:p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922" w:type="dxa"/>
            <w:vAlign w:val="bottom"/>
          </w:tcPr>
          <w:p>
            <w:pPr>
              <w:jc w:val="center"/>
            </w:pPr>
            <w:r>
              <w:t>Копир - принтер XEROX WC M118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</w:pPr>
            <w:r>
              <w:t>087М26Д0004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</w:pPr>
            <w:r>
              <w:t>96 810,00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</w:pPr>
            <w:r>
              <w:t>0,00</w:t>
            </w:r>
          </w:p>
        </w:tc>
      </w:tr>
      <w:tr>
        <w:tc>
          <w:tcPr>
            <w:tcW w:w="617" w:type="dxa"/>
          </w:tcPr>
          <w:p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922" w:type="dxa"/>
            <w:vAlign w:val="bottom"/>
          </w:tcPr>
          <w:p>
            <w:pPr>
              <w:jc w:val="center"/>
            </w:pPr>
            <w:r>
              <w:t>Кресло Руководителя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</w:pPr>
            <w:r>
              <w:t>087М26Д0005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</w:pPr>
            <w:r>
              <w:t>75 000,00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</w:pPr>
            <w:r>
              <w:t>0,00</w:t>
            </w:r>
          </w:p>
        </w:tc>
      </w:tr>
      <w:tr>
        <w:tc>
          <w:tcPr>
            <w:tcW w:w="617" w:type="dxa"/>
          </w:tcPr>
          <w:p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922" w:type="dxa"/>
            <w:vAlign w:val="bottom"/>
          </w:tcPr>
          <w:p>
            <w:pPr>
              <w:jc w:val="center"/>
            </w:pPr>
            <w:r>
              <w:t>Кресло Руководителя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</w:pPr>
            <w:r>
              <w:t>087М26Д0006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</w:pPr>
            <w:r>
              <w:t>13 488,06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</w:pPr>
            <w:r>
              <w:t>0,00</w:t>
            </w:r>
          </w:p>
        </w:tc>
      </w:tr>
      <w:tr>
        <w:tc>
          <w:tcPr>
            <w:tcW w:w="617" w:type="dxa"/>
          </w:tcPr>
          <w:p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922" w:type="dxa"/>
            <w:vAlign w:val="bottom"/>
          </w:tcPr>
          <w:p>
            <w:pPr>
              <w:jc w:val="center"/>
            </w:pPr>
            <w:r>
              <w:t>Кресло CH-401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</w:pPr>
            <w:r>
              <w:t>087М26Д0007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</w:pPr>
            <w:r>
              <w:t>18 648,00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</w:pPr>
            <w:r>
              <w:t>0,00</w:t>
            </w:r>
          </w:p>
        </w:tc>
      </w:tr>
      <w:tr>
        <w:tc>
          <w:tcPr>
            <w:tcW w:w="617" w:type="dxa"/>
          </w:tcPr>
          <w:p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2922" w:type="dxa"/>
            <w:vAlign w:val="bottom"/>
          </w:tcPr>
          <w:p>
            <w:pPr>
              <w:jc w:val="center"/>
            </w:pPr>
            <w:r>
              <w:t>Переплетная машина для пластиковой пружины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</w:pPr>
            <w:r>
              <w:t>087М26Д0008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</w:pPr>
            <w:r>
              <w:t>14 657,00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</w:pPr>
            <w:r>
              <w:t>0,00</w:t>
            </w:r>
          </w:p>
        </w:tc>
      </w:tr>
      <w:tr>
        <w:tc>
          <w:tcPr>
            <w:tcW w:w="617" w:type="dxa"/>
          </w:tcPr>
          <w:p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2922" w:type="dxa"/>
            <w:vAlign w:val="bottom"/>
          </w:tcPr>
          <w:p>
            <w:pPr>
              <w:jc w:val="center"/>
            </w:pPr>
            <w:r>
              <w:t>Приставка к столу (компьютерная)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</w:pPr>
            <w:r>
              <w:t>087М26Д0009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</w:pPr>
            <w:r>
              <w:t>4 930,56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</w:pPr>
            <w:r>
              <w:t>0,00</w:t>
            </w:r>
          </w:p>
        </w:tc>
      </w:tr>
      <w:tr>
        <w:tc>
          <w:tcPr>
            <w:tcW w:w="617" w:type="dxa"/>
          </w:tcPr>
          <w:p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2922" w:type="dxa"/>
            <w:vAlign w:val="bottom"/>
          </w:tcPr>
          <w:p>
            <w:pPr>
              <w:jc w:val="center"/>
            </w:pPr>
            <w:r>
              <w:t>Приставка к столу (</w:t>
            </w:r>
            <w:proofErr w:type="spellStart"/>
            <w:r>
              <w:t>конференц</w:t>
            </w:r>
            <w:proofErr w:type="spellEnd"/>
            <w:r>
              <w:t>)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</w:pPr>
            <w:r>
              <w:t>087М26Д0010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</w:pPr>
            <w:r>
              <w:t>4 339,92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</w:pPr>
            <w:r>
              <w:t>0,00</w:t>
            </w:r>
          </w:p>
        </w:tc>
      </w:tr>
      <w:tr>
        <w:tc>
          <w:tcPr>
            <w:tcW w:w="617" w:type="dxa"/>
          </w:tcPr>
          <w:p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922" w:type="dxa"/>
            <w:vAlign w:val="bottom"/>
          </w:tcPr>
          <w:p>
            <w:pPr>
              <w:jc w:val="center"/>
            </w:pPr>
            <w:r>
              <w:t>Приставка к столу (</w:t>
            </w:r>
            <w:proofErr w:type="spellStart"/>
            <w:r>
              <w:t>конференц</w:t>
            </w:r>
            <w:proofErr w:type="spellEnd"/>
            <w:r>
              <w:t>)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</w:pPr>
            <w:r>
              <w:t>087М26Д0011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</w:pPr>
            <w:r>
              <w:t>4 339,92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</w:pPr>
            <w:r>
              <w:t>0,00</w:t>
            </w:r>
          </w:p>
        </w:tc>
      </w:tr>
      <w:tr>
        <w:tc>
          <w:tcPr>
            <w:tcW w:w="617" w:type="dxa"/>
          </w:tcPr>
          <w:p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922" w:type="dxa"/>
            <w:vAlign w:val="bottom"/>
          </w:tcPr>
          <w:p>
            <w:pPr>
              <w:jc w:val="center"/>
            </w:pPr>
            <w:r>
              <w:t>Сейф импортный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</w:pPr>
            <w:r>
              <w:t>087М26Д0012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</w:pPr>
            <w:r>
              <w:t>31 396,47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lang w:val="en-US"/>
              </w:rPr>
            </w:pPr>
            <w:r>
              <w:t>5 414,92</w:t>
            </w:r>
          </w:p>
        </w:tc>
      </w:tr>
      <w:tr>
        <w:tc>
          <w:tcPr>
            <w:tcW w:w="617" w:type="dxa"/>
          </w:tcPr>
          <w:p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2922" w:type="dxa"/>
            <w:vAlign w:val="bottom"/>
          </w:tcPr>
          <w:p>
            <w:pPr>
              <w:jc w:val="center"/>
            </w:pPr>
            <w:r>
              <w:t>Стеллаж 2-секционный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</w:pPr>
            <w:r>
              <w:t>087М26Д0014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</w:pPr>
            <w:r>
              <w:t>10 395,00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</w:pPr>
            <w:r>
              <w:t>0,00</w:t>
            </w:r>
          </w:p>
        </w:tc>
      </w:tr>
      <w:tr>
        <w:tc>
          <w:tcPr>
            <w:tcW w:w="617" w:type="dxa"/>
          </w:tcPr>
          <w:p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2922" w:type="dxa"/>
            <w:vAlign w:val="bottom"/>
          </w:tcPr>
          <w:p>
            <w:pPr>
              <w:jc w:val="center"/>
            </w:pPr>
            <w:r>
              <w:t>Стеллаж 2-секционный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</w:pPr>
            <w:r>
              <w:t>087М26Д0015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</w:pPr>
            <w:r>
              <w:t>10 395,00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</w:pPr>
            <w:r>
              <w:t>0,00</w:t>
            </w:r>
          </w:p>
        </w:tc>
      </w:tr>
      <w:tr>
        <w:tc>
          <w:tcPr>
            <w:tcW w:w="617" w:type="dxa"/>
          </w:tcPr>
          <w:p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2922" w:type="dxa"/>
            <w:vAlign w:val="bottom"/>
          </w:tcPr>
          <w:p>
            <w:pPr>
              <w:jc w:val="center"/>
            </w:pPr>
            <w:r>
              <w:t>Стол компьютерный 12 (605)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</w:pPr>
            <w:r>
              <w:t>087М26Д0016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</w:pPr>
            <w:r>
              <w:t>6 720,00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</w:pPr>
            <w:r>
              <w:t>0,00</w:t>
            </w:r>
          </w:p>
        </w:tc>
      </w:tr>
      <w:tr>
        <w:tc>
          <w:tcPr>
            <w:tcW w:w="617" w:type="dxa"/>
          </w:tcPr>
          <w:p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2922" w:type="dxa"/>
            <w:vAlign w:val="bottom"/>
          </w:tcPr>
          <w:p>
            <w:pPr>
              <w:jc w:val="center"/>
            </w:pPr>
            <w:r>
              <w:t>Телефакс PANASONIC KIX-FC24RU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</w:pPr>
            <w:r>
              <w:t>087М26Д0017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</w:pPr>
            <w:r>
              <w:t>15 344,88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</w:pPr>
            <w:r>
              <w:t>0,00</w:t>
            </w:r>
          </w:p>
        </w:tc>
      </w:tr>
      <w:tr>
        <w:tc>
          <w:tcPr>
            <w:tcW w:w="617" w:type="dxa"/>
          </w:tcPr>
          <w:p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2922" w:type="dxa"/>
            <w:vAlign w:val="bottom"/>
          </w:tcPr>
          <w:p>
            <w:pPr>
              <w:jc w:val="center"/>
            </w:pPr>
            <w:r>
              <w:t>Телефакс PANASONIC KIX-TCD540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</w:pPr>
            <w:r>
              <w:t>087М26Д0018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</w:pPr>
            <w:r>
              <w:t>8 900,00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</w:pPr>
            <w:r>
              <w:t>0,00</w:t>
            </w:r>
          </w:p>
        </w:tc>
      </w:tr>
      <w:tr>
        <w:tc>
          <w:tcPr>
            <w:tcW w:w="617" w:type="dxa"/>
          </w:tcPr>
          <w:p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2922" w:type="dxa"/>
            <w:vAlign w:val="bottom"/>
          </w:tcPr>
          <w:p>
            <w:pPr>
              <w:jc w:val="center"/>
            </w:pPr>
            <w:r>
              <w:t xml:space="preserve">Тумба </w:t>
            </w:r>
            <w:proofErr w:type="spellStart"/>
            <w:r>
              <w:t>подкатная</w:t>
            </w:r>
            <w:proofErr w:type="spellEnd"/>
            <w:r>
              <w:t xml:space="preserve"> 3 ящика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</w:pPr>
            <w:r>
              <w:t>087М26Д0019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</w:pPr>
            <w:r>
              <w:t>3 787,80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</w:pPr>
            <w:r>
              <w:t>0,00</w:t>
            </w:r>
          </w:p>
        </w:tc>
      </w:tr>
      <w:tr>
        <w:tc>
          <w:tcPr>
            <w:tcW w:w="617" w:type="dxa"/>
          </w:tcPr>
          <w:p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2922" w:type="dxa"/>
            <w:vAlign w:val="bottom"/>
          </w:tcPr>
          <w:p>
            <w:pPr>
              <w:jc w:val="center"/>
            </w:pPr>
            <w:r>
              <w:t>Уничтожитель документов 20л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</w:pPr>
            <w:r>
              <w:t>087М26Д0020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</w:pPr>
            <w:r>
              <w:t>13 539,66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</w:pPr>
            <w:r>
              <w:t>0,00</w:t>
            </w:r>
          </w:p>
        </w:tc>
      </w:tr>
      <w:tr>
        <w:tc>
          <w:tcPr>
            <w:tcW w:w="617" w:type="dxa"/>
          </w:tcPr>
          <w:p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2922" w:type="dxa"/>
            <w:vAlign w:val="bottom"/>
          </w:tcPr>
          <w:p>
            <w:pPr>
              <w:jc w:val="center"/>
            </w:pPr>
            <w:r>
              <w:t>Шкаф М-18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</w:pPr>
            <w:r>
              <w:t>087М26Д0021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</w:pPr>
            <w:r>
              <w:t>19 110,00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</w:pPr>
            <w:r>
              <w:t>0,00</w:t>
            </w:r>
          </w:p>
        </w:tc>
      </w:tr>
    </w:tbl>
    <w:p>
      <w:pPr>
        <w:jc w:val="both"/>
        <w:rPr>
          <w:sz w:val="28"/>
          <w:szCs w:val="28"/>
        </w:rPr>
      </w:pPr>
    </w:p>
    <w:sectPr>
      <w:headerReference w:type="default" r:id="rId9"/>
      <w:pgSz w:w="12240" w:h="15840"/>
      <w:pgMar w:top="1134" w:right="850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80781155"/>
      <w:docPartObj>
        <w:docPartGallery w:val="Page Numbers (Top of Page)"/>
        <w:docPartUnique/>
      </w:docPartObj>
    </w:sdtPr>
    <w:sdtContent>
      <w:p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  <w:lang w:val="ru-RU"/>
          </w:rPr>
          <w:t>2</w:t>
        </w:r>
        <w:r>
          <w:fldChar w:fldCharType="end"/>
        </w:r>
      </w:p>
    </w:sdtContent>
  </w:sdt>
  <w:p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  <w:lang w:val="ru-RU"/>
      </w:rPr>
      <w:t>3</w:t>
    </w:r>
    <w:r>
      <w:fldChar w:fldCharType="end"/>
    </w:r>
  </w:p>
  <w:p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A34DC1"/>
    <w:multiLevelType w:val="hybridMultilevel"/>
    <w:tmpl w:val="7C94ADA0"/>
    <w:lvl w:ilvl="0" w:tplc="598A9AAE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F5F4F65"/>
    <w:multiLevelType w:val="hybridMultilevel"/>
    <w:tmpl w:val="B9F6892E"/>
    <w:lvl w:ilvl="0" w:tplc="0BFE5E36">
      <w:start w:val="1"/>
      <w:numFmt w:val="upperRoman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C2C4E4-2248-4A95-B60D-E76101B7B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(лев. подпись)"/>
    <w:basedOn w:val="a"/>
    <w:next w:val="a"/>
    <w:pPr>
      <w:widowControl w:val="0"/>
      <w:autoSpaceDE w:val="0"/>
      <w:autoSpaceDN w:val="0"/>
      <w:adjustRightInd w:val="0"/>
    </w:pPr>
    <w:rPr>
      <w:rFonts w:ascii="Arial" w:hAnsi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pPr>
      <w:ind w:left="720"/>
      <w:contextualSpacing/>
    </w:pPr>
  </w:style>
  <w:style w:type="paragraph" w:styleId="a7">
    <w:name w:val="header"/>
    <w:basedOn w:val="a"/>
    <w:link w:val="a8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Верхний колонтитул Знак"/>
    <w:basedOn w:val="a0"/>
    <w:link w:val="a7"/>
    <w:uiPriority w:val="9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432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Тюнягина Юлия Игоревна</dc:creator>
  <cp:keywords/>
  <dc:description/>
  <cp:lastModifiedBy>Ирина Листопадова</cp:lastModifiedBy>
  <cp:revision>6</cp:revision>
  <cp:lastPrinted>2023-04-06T03:43:00Z</cp:lastPrinted>
  <dcterms:created xsi:type="dcterms:W3CDTF">2023-04-05T05:16:00Z</dcterms:created>
  <dcterms:modified xsi:type="dcterms:W3CDTF">2023-04-06T23:04:00Z</dcterms:modified>
</cp:coreProperties>
</file>